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FE" w:rsidRDefault="009D5FD3">
      <w:pPr>
        <w:pStyle w:val="BodyText"/>
        <w:jc w:val="center"/>
        <w:outlineLvl w:val="0"/>
        <w:rPr>
          <w:b/>
          <w:bCs/>
          <w:u w:val="single"/>
        </w:rPr>
      </w:pPr>
      <w:r>
        <w:rPr>
          <w:b/>
          <w:bCs/>
          <w:u w:val="single"/>
        </w:rPr>
        <w:t>BEFORE THE NEW MEXICO PUBLIC REGULATION COMMISSION</w:t>
      </w:r>
    </w:p>
    <w:p w:rsidR="009D5FD3" w:rsidRDefault="009D5FD3">
      <w:pPr>
        <w:pStyle w:val="BodyText"/>
        <w:jc w:val="center"/>
        <w:outlineLvl w:val="0"/>
        <w:rPr>
          <w:b/>
          <w:bCs/>
          <w:u w:val="single"/>
        </w:rPr>
      </w:pPr>
    </w:p>
    <w:p w:rsidR="00D076FE" w:rsidRPr="0090189C" w:rsidRDefault="001D1BF6" w:rsidP="00D076FE">
      <w:pPr>
        <w:rPr>
          <w:rFonts w:eastAsia="Calibri"/>
          <w:b/>
          <w:szCs w:val="24"/>
        </w:rPr>
      </w:pPr>
      <w:r w:rsidRPr="0090189C">
        <w:rPr>
          <w:rFonts w:eastAsia="Calibri"/>
          <w:b/>
          <w:szCs w:val="24"/>
        </w:rPr>
        <w:t>IN THE MATTER OF THE APPLICATION</w:t>
      </w:r>
      <w:r w:rsidRPr="0090189C">
        <w:rPr>
          <w:rFonts w:eastAsia="Calibri"/>
          <w:b/>
          <w:szCs w:val="24"/>
        </w:rPr>
        <w:tab/>
        <w:t>)</w:t>
      </w:r>
    </w:p>
    <w:p w:rsidR="00D076FE" w:rsidRPr="0090189C" w:rsidRDefault="001D1BF6" w:rsidP="00D076FE">
      <w:pPr>
        <w:rPr>
          <w:rFonts w:eastAsia="Calibri"/>
          <w:b/>
          <w:szCs w:val="24"/>
        </w:rPr>
      </w:pPr>
      <w:r w:rsidRPr="0090189C">
        <w:rPr>
          <w:rFonts w:eastAsia="Calibri"/>
          <w:b/>
          <w:szCs w:val="24"/>
        </w:rPr>
        <w:t>OF NEW MEXICO GAS COMPANY, INC.</w:t>
      </w:r>
      <w:r w:rsidRPr="0090189C">
        <w:rPr>
          <w:rFonts w:eastAsia="Calibri"/>
          <w:b/>
          <w:szCs w:val="24"/>
        </w:rPr>
        <w:tab/>
        <w:t>)</w:t>
      </w:r>
    </w:p>
    <w:p w:rsidR="00D076FE" w:rsidRPr="0090189C" w:rsidRDefault="001D1BF6" w:rsidP="00D076FE">
      <w:pPr>
        <w:rPr>
          <w:rFonts w:eastAsia="Calibri"/>
          <w:b/>
          <w:szCs w:val="24"/>
        </w:rPr>
      </w:pPr>
      <w:r w:rsidRPr="0090189C">
        <w:rPr>
          <w:rFonts w:eastAsia="Calibri"/>
          <w:b/>
          <w:szCs w:val="24"/>
        </w:rPr>
        <w:t xml:space="preserve">FOR REVISIONS TO ITS RATES, RULES, </w:t>
      </w:r>
      <w:r w:rsidRPr="0090189C">
        <w:rPr>
          <w:rFonts w:eastAsia="Calibri"/>
          <w:b/>
          <w:szCs w:val="24"/>
        </w:rPr>
        <w:tab/>
        <w:t>)</w:t>
      </w:r>
    </w:p>
    <w:p w:rsidR="00D076FE" w:rsidRPr="0090189C" w:rsidRDefault="001D1BF6" w:rsidP="00D076FE">
      <w:pPr>
        <w:tabs>
          <w:tab w:val="left" w:pos="5040"/>
          <w:tab w:val="left" w:pos="5760"/>
        </w:tabs>
        <w:rPr>
          <w:rFonts w:eastAsia="Calibri"/>
          <w:b/>
          <w:szCs w:val="24"/>
        </w:rPr>
      </w:pPr>
      <w:r w:rsidRPr="0090189C">
        <w:rPr>
          <w:rFonts w:eastAsia="Calibri"/>
          <w:b/>
          <w:szCs w:val="24"/>
        </w:rPr>
        <w:t>AND CHARGES PURSUANT TO ADVICE</w:t>
      </w:r>
      <w:r w:rsidRPr="0090189C">
        <w:rPr>
          <w:rFonts w:eastAsia="Calibri"/>
          <w:b/>
          <w:szCs w:val="24"/>
        </w:rPr>
        <w:tab/>
        <w:t>)</w:t>
      </w:r>
      <w:r w:rsidRPr="0090189C">
        <w:rPr>
          <w:rFonts w:eastAsia="Calibri"/>
          <w:b/>
          <w:szCs w:val="24"/>
        </w:rPr>
        <w:tab/>
        <w:t>Case No. 18-00038-UT</w:t>
      </w:r>
    </w:p>
    <w:p w:rsidR="00D076FE" w:rsidRPr="0090189C" w:rsidRDefault="001D1BF6" w:rsidP="00D076FE">
      <w:pPr>
        <w:keepNext/>
        <w:overflowPunct w:val="0"/>
        <w:autoSpaceDE w:val="0"/>
        <w:autoSpaceDN w:val="0"/>
        <w:adjustRightInd w:val="0"/>
        <w:textAlignment w:val="baseline"/>
        <w:outlineLvl w:val="1"/>
        <w:rPr>
          <w:b/>
          <w:szCs w:val="24"/>
        </w:rPr>
      </w:pPr>
      <w:r w:rsidRPr="0090189C">
        <w:rPr>
          <w:rFonts w:eastAsia="Calibri"/>
          <w:b/>
          <w:szCs w:val="24"/>
        </w:rPr>
        <w:t>NOTICE</w:t>
      </w:r>
      <w:r w:rsidRPr="0090189C">
        <w:rPr>
          <w:b/>
          <w:szCs w:val="24"/>
        </w:rPr>
        <w:t xml:space="preserve"> NOS. 70 AND 71 </w:t>
      </w:r>
      <w:r w:rsidRPr="0090189C">
        <w:rPr>
          <w:b/>
          <w:szCs w:val="24"/>
        </w:rPr>
        <w:tab/>
      </w:r>
      <w:r w:rsidRPr="0090189C">
        <w:rPr>
          <w:b/>
          <w:szCs w:val="24"/>
        </w:rPr>
        <w:tab/>
      </w:r>
      <w:r w:rsidRPr="0090189C">
        <w:rPr>
          <w:b/>
          <w:szCs w:val="24"/>
        </w:rPr>
        <w:tab/>
      </w:r>
      <w:r w:rsidRPr="0090189C">
        <w:rPr>
          <w:b/>
          <w:szCs w:val="24"/>
        </w:rPr>
        <w:tab/>
        <w:t>)</w:t>
      </w:r>
    </w:p>
    <w:p w:rsidR="00D076FE" w:rsidRPr="0090189C" w:rsidRDefault="001D1BF6" w:rsidP="00D076FE">
      <w:pPr>
        <w:rPr>
          <w:rFonts w:eastAsia="Calibri"/>
          <w:b/>
          <w:szCs w:val="24"/>
        </w:rPr>
      </w:pP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t>)</w:t>
      </w:r>
    </w:p>
    <w:p w:rsidR="00D076FE" w:rsidRPr="0090189C" w:rsidRDefault="001D1BF6" w:rsidP="00D076FE">
      <w:pPr>
        <w:rPr>
          <w:rFonts w:eastAsia="Calibri"/>
          <w:b/>
          <w:szCs w:val="24"/>
        </w:rPr>
      </w:pPr>
      <w:r w:rsidRPr="0090189C">
        <w:rPr>
          <w:rFonts w:eastAsia="Calibri"/>
          <w:b/>
          <w:szCs w:val="24"/>
        </w:rPr>
        <w:t>NEW MEXICO GAS COMPANY,</w:t>
      </w:r>
      <w:r w:rsidRPr="0090189C">
        <w:rPr>
          <w:rFonts w:eastAsia="Calibri"/>
          <w:b/>
          <w:szCs w:val="24"/>
        </w:rPr>
        <w:tab/>
        <w:t>INC.</w:t>
      </w:r>
      <w:r w:rsidRPr="0090189C">
        <w:rPr>
          <w:rFonts w:eastAsia="Calibri"/>
          <w:b/>
          <w:szCs w:val="24"/>
        </w:rPr>
        <w:tab/>
      </w:r>
      <w:r w:rsidRPr="0090189C">
        <w:rPr>
          <w:rFonts w:eastAsia="Calibri"/>
          <w:b/>
          <w:szCs w:val="24"/>
        </w:rPr>
        <w:tab/>
        <w:t>)</w:t>
      </w:r>
    </w:p>
    <w:p w:rsidR="00D076FE" w:rsidRPr="0090189C" w:rsidRDefault="001D1BF6" w:rsidP="00D076FE">
      <w:pPr>
        <w:rPr>
          <w:rFonts w:eastAsia="Calibri"/>
          <w:b/>
          <w:szCs w:val="24"/>
        </w:rPr>
      </w:pP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r>
      <w:r w:rsidRPr="0090189C">
        <w:rPr>
          <w:rFonts w:eastAsia="Calibri"/>
          <w:b/>
          <w:szCs w:val="24"/>
        </w:rPr>
        <w:tab/>
        <w:t>)</w:t>
      </w:r>
    </w:p>
    <w:p w:rsidR="00D076FE" w:rsidRPr="0090189C" w:rsidRDefault="001D1BF6" w:rsidP="00D076FE">
      <w:pPr>
        <w:rPr>
          <w:b/>
          <w:bCs/>
          <w:szCs w:val="24"/>
          <w:u w:val="single"/>
        </w:rPr>
      </w:pPr>
      <w:r w:rsidRPr="0090189C">
        <w:rPr>
          <w:rFonts w:eastAsia="Calibri"/>
          <w:b/>
          <w:bCs/>
          <w:szCs w:val="24"/>
          <w:u w:val="single"/>
        </w:rPr>
        <w:t xml:space="preserve">                Applicant.</w:t>
      </w:r>
      <w:r w:rsidRPr="0090189C">
        <w:rPr>
          <w:rFonts w:eastAsia="Calibri"/>
          <w:b/>
          <w:bCs/>
          <w:szCs w:val="24"/>
          <w:u w:val="single"/>
        </w:rPr>
        <w:tab/>
      </w:r>
      <w:r w:rsidRPr="0090189C">
        <w:rPr>
          <w:rFonts w:eastAsia="Calibri"/>
          <w:b/>
          <w:bCs/>
          <w:szCs w:val="24"/>
          <w:u w:val="single"/>
        </w:rPr>
        <w:tab/>
      </w:r>
      <w:r w:rsidRPr="0090189C">
        <w:rPr>
          <w:rFonts w:eastAsia="Calibri"/>
          <w:b/>
          <w:bCs/>
          <w:szCs w:val="24"/>
          <w:u w:val="single"/>
        </w:rPr>
        <w:tab/>
      </w:r>
      <w:r w:rsidRPr="0090189C">
        <w:rPr>
          <w:rFonts w:eastAsia="Calibri"/>
          <w:b/>
          <w:bCs/>
          <w:szCs w:val="24"/>
          <w:u w:val="single"/>
        </w:rPr>
        <w:tab/>
      </w:r>
      <w:r w:rsidRPr="0090189C">
        <w:rPr>
          <w:rFonts w:eastAsia="Calibri"/>
          <w:b/>
          <w:bCs/>
          <w:szCs w:val="24"/>
          <w:u w:val="single"/>
        </w:rPr>
        <w:tab/>
      </w:r>
      <w:r w:rsidRPr="0090189C">
        <w:rPr>
          <w:rFonts w:eastAsia="Calibri"/>
          <w:b/>
          <w:bCs/>
          <w:szCs w:val="24"/>
        </w:rPr>
        <w:t>)</w:t>
      </w:r>
    </w:p>
    <w:p w:rsidR="00D076FE" w:rsidRDefault="006F3200" w:rsidP="00D076FE">
      <w:pPr>
        <w:rPr>
          <w:szCs w:val="24"/>
        </w:rPr>
      </w:pPr>
    </w:p>
    <w:p w:rsidR="00D076FE" w:rsidRDefault="006F3200" w:rsidP="00D076FE">
      <w:pPr>
        <w:pStyle w:val="BodyText"/>
        <w:outlineLvl w:val="0"/>
        <w:rPr>
          <w:b/>
          <w:bCs/>
          <w:u w:val="single"/>
        </w:rPr>
      </w:pPr>
    </w:p>
    <w:p w:rsidR="005F288F" w:rsidRDefault="001D1BF6">
      <w:pPr>
        <w:pStyle w:val="BodyText"/>
        <w:jc w:val="center"/>
        <w:outlineLvl w:val="0"/>
        <w:rPr>
          <w:b/>
          <w:bCs/>
          <w:u w:val="single"/>
        </w:rPr>
      </w:pPr>
      <w:r>
        <w:rPr>
          <w:b/>
          <w:bCs/>
          <w:u w:val="single"/>
        </w:rPr>
        <w:t>NOTICE TO NEW MEXICO GAS COMPANY</w:t>
      </w:r>
      <w:r w:rsidR="004704DE">
        <w:rPr>
          <w:b/>
          <w:bCs/>
          <w:u w:val="single"/>
        </w:rPr>
        <w:t xml:space="preserve"> </w:t>
      </w:r>
      <w:r>
        <w:rPr>
          <w:b/>
          <w:bCs/>
          <w:u w:val="single"/>
        </w:rPr>
        <w:t>CUSTOMERS</w:t>
      </w:r>
    </w:p>
    <w:p w:rsidR="005F288F" w:rsidRDefault="006F3200" w:rsidP="00D076FE">
      <w:pPr>
        <w:rPr>
          <w:b/>
          <w:bCs/>
        </w:rPr>
      </w:pPr>
    </w:p>
    <w:p w:rsidR="005F288F" w:rsidRDefault="001D1BF6">
      <w:pPr>
        <w:pStyle w:val="BodyText"/>
        <w:spacing w:line="480" w:lineRule="auto"/>
        <w:ind w:firstLine="720"/>
      </w:pPr>
      <w:r>
        <w:t>New Mexico Gas Company, Inc. (“NMGC”) is providing the following information to you, as required by the New Mexico Public Regulation Commission (“NMPRC” or the “Commission”).  This notice is being given to you for your information, and no immediate action is required on your part.</w:t>
      </w:r>
    </w:p>
    <w:p w:rsidR="005F288F" w:rsidRDefault="001D1BF6">
      <w:pPr>
        <w:pStyle w:val="BodyText"/>
        <w:spacing w:line="480" w:lineRule="auto"/>
        <w:ind w:firstLine="720"/>
      </w:pPr>
      <w:r>
        <w:t xml:space="preserve">The information below outlines a proceeding to determine the disposition of the savings NMGC realized as a result of the enactment of the federal Tax Cuts and Jobs Act of 2017 (the “TCJA”), including whether NMGC should be required to provide refunds to customers of such savings from January 1, 2018 to the effective date of NMGC’s new rates.  You are welcome to review documents related to the proceeding or to attend the hearing.  </w:t>
      </w:r>
      <w:r w:rsidRPr="00A90303">
        <w:t>See items (</w:t>
      </w:r>
      <w:r>
        <w:t>5</w:t>
      </w:r>
      <w:r w:rsidRPr="00A90303">
        <w:t>) through (1</w:t>
      </w:r>
      <w:r>
        <w:t>1</w:t>
      </w:r>
      <w:r w:rsidRPr="00A90303">
        <w:t>) below</w:t>
      </w:r>
      <w:r>
        <w:t xml:space="preserve"> for details on those options.</w:t>
      </w:r>
    </w:p>
    <w:p w:rsidR="00011E2A" w:rsidRDefault="001D1BF6" w:rsidP="000D66F0">
      <w:pPr>
        <w:pStyle w:val="BodyText"/>
        <w:numPr>
          <w:ilvl w:val="0"/>
          <w:numId w:val="1"/>
        </w:numPr>
        <w:spacing w:line="480" w:lineRule="auto"/>
        <w:ind w:left="0" w:firstLine="720"/>
      </w:pPr>
      <w:r>
        <w:t xml:space="preserve">On December 22, 2017, the TCJA was signed into law.  Among other things, the TCJA reduced the federal income tax rate for corporations, including public utility companies, from 35% to 21%. </w:t>
      </w:r>
    </w:p>
    <w:p w:rsidR="00A81C5C" w:rsidRDefault="001D1BF6" w:rsidP="00A81C5C">
      <w:pPr>
        <w:pStyle w:val="BodyText"/>
        <w:numPr>
          <w:ilvl w:val="0"/>
          <w:numId w:val="1"/>
        </w:numPr>
        <w:spacing w:line="480" w:lineRule="auto"/>
        <w:ind w:left="0" w:firstLine="720"/>
      </w:pPr>
      <w:r>
        <w:t>The Commission has set an evidentiary hearing on whether NMGC should be required to provide refunds to customers of such savings from January 1, 2018 to the effective date of NMGC’s new rates.  A public hearing will be held beginning December 17, 2018 at 9:30 A</w:t>
      </w:r>
      <w:r w:rsidR="004704DE">
        <w:t>.</w:t>
      </w:r>
      <w:r>
        <w:t>M</w:t>
      </w:r>
      <w:r w:rsidR="004704DE">
        <w:t>.</w:t>
      </w:r>
      <w:r>
        <w:t xml:space="preserve"> </w:t>
      </w:r>
      <w:r>
        <w:lastRenderedPageBreak/>
        <w:t>and continuing through December 18, 2018 (as necessary) in the Ground Floor Hearing Room of the P.E.R.A Building, 1120 Paseo De Peralta in Santa Fe, New Mexico.  You can contact the Commission at (505) 827-6956 for confirmation of the hearing date, time, and place because hearings are occasionally rescheduled.</w:t>
      </w:r>
      <w:r w:rsidRPr="00A81C5C">
        <w:t xml:space="preserve"> </w:t>
      </w:r>
    </w:p>
    <w:p w:rsidR="005F288F" w:rsidRDefault="001D1BF6" w:rsidP="000D66F0">
      <w:pPr>
        <w:pStyle w:val="BodyText"/>
        <w:numPr>
          <w:ilvl w:val="0"/>
          <w:numId w:val="1"/>
        </w:numPr>
        <w:spacing w:line="480" w:lineRule="auto"/>
        <w:ind w:left="0" w:firstLine="720"/>
      </w:pPr>
      <w:r>
        <w:t>The issue of whether NMGC should be required to provide refunds to customers of savings it realized due to the TCJA from January 1, 2018 to the effective date of NMGC’s new rates may affect all customer classes.</w:t>
      </w:r>
    </w:p>
    <w:p w:rsidR="00D53912" w:rsidRDefault="001D1BF6" w:rsidP="00D53912">
      <w:pPr>
        <w:pStyle w:val="BodyText"/>
        <w:numPr>
          <w:ilvl w:val="0"/>
          <w:numId w:val="1"/>
        </w:numPr>
        <w:spacing w:line="480" w:lineRule="auto"/>
        <w:ind w:left="0" w:firstLine="720"/>
      </w:pPr>
      <w:r>
        <w:t xml:space="preserve">The Commission has assigned Case No. 18-00038-UT to this case and inquiries should refer to that case number.  </w:t>
      </w:r>
    </w:p>
    <w:p w:rsidR="005F288F" w:rsidRDefault="001D1BF6" w:rsidP="0041518C">
      <w:pPr>
        <w:pStyle w:val="BodyText"/>
        <w:numPr>
          <w:ilvl w:val="0"/>
          <w:numId w:val="1"/>
        </w:numPr>
        <w:spacing w:line="480" w:lineRule="auto"/>
        <w:ind w:left="0" w:firstLine="720"/>
      </w:pPr>
      <w:r>
        <w:t xml:space="preserve">You may examine NMGC’s filings, together with any exhibits and related papers, at NMGC offices located at 7120 Wyoming, Albuquerque, New Mexico 87109, (505) 697-3831, or at the Commission’s Records Bureau at 1120 Paseo De Peralta, P.E.R.A. Building, Santa Fe, New Mexico 87504; or online at the Commission’s “Case Lookup Edocket” at </w:t>
      </w:r>
      <w:r>
        <w:rPr>
          <w:i/>
        </w:rPr>
        <w:t>www.nmprc.state.nm</w:t>
      </w:r>
      <w:r>
        <w:t>.</w:t>
      </w:r>
    </w:p>
    <w:p w:rsidR="005F288F" w:rsidRDefault="001D1BF6" w:rsidP="0041518C">
      <w:pPr>
        <w:pStyle w:val="BodyText"/>
        <w:numPr>
          <w:ilvl w:val="0"/>
          <w:numId w:val="1"/>
        </w:numPr>
        <w:spacing w:line="480" w:lineRule="auto"/>
        <w:ind w:left="0" w:firstLine="720"/>
      </w:pPr>
      <w:r>
        <w:t>You may intervene by filing a Motion for Leave to Intervene pursuant to 1.2.2.23 NMAC on or before October 15, 2018.</w:t>
      </w:r>
    </w:p>
    <w:p w:rsidR="005F288F" w:rsidRDefault="001D1BF6" w:rsidP="0041518C">
      <w:pPr>
        <w:pStyle w:val="BodyText"/>
        <w:numPr>
          <w:ilvl w:val="0"/>
          <w:numId w:val="1"/>
        </w:numPr>
        <w:spacing w:line="480" w:lineRule="auto"/>
        <w:ind w:left="0" w:firstLine="720"/>
      </w:pPr>
      <w:r>
        <w:t>You may appear at the hearing and make a written or oral comment without becoming an intervenor pursuant to 1.2.2.23(F) NMAC, but your comments will not be considered as evidence in this proceeding.  If you make written comments in this case, you do not also have to attend the hearing, although you may attend the hearing if you would like to do so.  Written comments shall reference NMPRC Case No. 18-00038-UT and may be sent via hand delivery or U.S. Mail to the Commission’s Records Bureau at the address below.</w:t>
      </w:r>
    </w:p>
    <w:p w:rsidR="001C2AFF" w:rsidRDefault="001D1BF6" w:rsidP="0041518C">
      <w:pPr>
        <w:pStyle w:val="BodyText"/>
        <w:numPr>
          <w:ilvl w:val="0"/>
          <w:numId w:val="1"/>
        </w:numPr>
        <w:spacing w:line="480" w:lineRule="auto"/>
        <w:ind w:left="0" w:firstLine="720"/>
      </w:pPr>
      <w:r>
        <w:t xml:space="preserve">Anyone filing pleadings, documents, or testimony in this case may file either in person at the Commission’s Records Bureau in the P.E.R.A. Building in Santa Fe, New Mexico, or by mail to the Commission’s address at P.O. Box 1269, Santa Fe, New Mexico  87504-1269, and shall serve a copy on all parties of record and Staff.  All filings shall be emailed on the date they are filed with the Commission.  </w:t>
      </w:r>
      <w:r>
        <w:rPr>
          <w:b/>
          <w:u w:val="single"/>
        </w:rPr>
        <w:t>Any such filings shall also be e-mailed to the Hearing Examiner at Frances.S</w:t>
      </w:r>
      <w:r w:rsidRPr="001C2AFF">
        <w:rPr>
          <w:b/>
          <w:u w:val="single"/>
        </w:rPr>
        <w:t>undheim@state.nm.us</w:t>
      </w:r>
      <w:r>
        <w:rPr>
          <w:b/>
          <w:u w:val="single"/>
        </w:rPr>
        <w:t>.</w:t>
      </w:r>
      <w:r>
        <w:t xml:space="preserve">  All documents emailed to the Hearing Examiner shall include Word files if created in that format.   </w:t>
      </w:r>
    </w:p>
    <w:p w:rsidR="001C2AFF" w:rsidRDefault="001D1BF6" w:rsidP="001C2AFF">
      <w:pPr>
        <w:pStyle w:val="BodyText"/>
        <w:numPr>
          <w:ilvl w:val="0"/>
          <w:numId w:val="1"/>
        </w:numPr>
        <w:spacing w:line="480" w:lineRule="auto"/>
        <w:ind w:left="0" w:firstLine="720"/>
      </w:pPr>
      <w:r>
        <w:t xml:space="preserve">The Commission’s Rules of Practice and Procedure, 1.2.2 NMAC, shall apply to this proceeding except as modified by Commission order or the presiding officer.  The NMAC Rules are available online at the NMAC website, </w:t>
      </w:r>
      <w:r w:rsidRPr="004704DE">
        <w:rPr>
          <w:i/>
          <w:u w:val="single"/>
        </w:rPr>
        <w:t>http://164.64.110.134/nmac-titles</w:t>
      </w:r>
      <w:r>
        <w:rPr>
          <w:i/>
        </w:rPr>
        <w:t>.</w:t>
      </w:r>
    </w:p>
    <w:p w:rsidR="005F288F" w:rsidRDefault="001D1BF6" w:rsidP="0041518C">
      <w:pPr>
        <w:pStyle w:val="BodyText"/>
        <w:numPr>
          <w:ilvl w:val="0"/>
          <w:numId w:val="1"/>
        </w:numPr>
        <w:spacing w:line="480" w:lineRule="auto"/>
        <w:ind w:left="0" w:firstLine="720"/>
      </w:pPr>
      <w:r>
        <w:t xml:space="preserve">Further information can be obtained from NMGC, at its website </w:t>
      </w:r>
      <w:r w:rsidRPr="008B109F">
        <w:t>www.nmgco.com</w:t>
      </w:r>
      <w:r>
        <w:t xml:space="preserve">, or the Commission’s “Case Lookup Edocket” at </w:t>
      </w:r>
      <w:r w:rsidRPr="004704DE">
        <w:rPr>
          <w:i/>
          <w:u w:val="single"/>
        </w:rPr>
        <w:t>www.nmprc.state.nm.us</w:t>
      </w:r>
      <w:r>
        <w:t>.</w:t>
      </w:r>
    </w:p>
    <w:p w:rsidR="001C2AFF" w:rsidRDefault="001D1BF6" w:rsidP="0041518C">
      <w:pPr>
        <w:pStyle w:val="BodyText"/>
        <w:numPr>
          <w:ilvl w:val="0"/>
          <w:numId w:val="1"/>
        </w:numPr>
        <w:spacing w:line="480" w:lineRule="auto"/>
        <w:ind w:left="0" w:firstLine="720"/>
      </w:pPr>
      <w:r>
        <w:t>Any person with a disability requiring special assistance in order to participate in this proceeding should contact the Commission</w:t>
      </w:r>
      <w:bookmarkStart w:id="0" w:name="_GoBack"/>
      <w:bookmarkEnd w:id="0"/>
      <w:r>
        <w:t xml:space="preserve"> at </w:t>
      </w:r>
      <w:r w:rsidR="004704DE" w:rsidRPr="004704DE">
        <w:rPr>
          <w:b/>
        </w:rPr>
        <w:t>1-888-427-5772</w:t>
      </w:r>
      <w:r>
        <w:t xml:space="preserve"> at least 24 hours prior to the commencement of the hearing.  </w:t>
      </w:r>
    </w:p>
    <w:p w:rsidR="005179A2" w:rsidRDefault="006F3200" w:rsidP="005179A2">
      <w:pPr>
        <w:pStyle w:val="BodyText"/>
        <w:spacing w:line="480" w:lineRule="auto"/>
        <w:rPr>
          <w:sz w:val="20"/>
        </w:rPr>
      </w:pPr>
    </w:p>
    <w:p w:rsidR="0041518C" w:rsidRDefault="006F3200" w:rsidP="0041518C">
      <w:pPr>
        <w:pStyle w:val="BodyText"/>
        <w:spacing w:line="180" w:lineRule="exact"/>
        <w:jc w:val="left"/>
        <w:rPr>
          <w:sz w:val="20"/>
        </w:rPr>
      </w:pPr>
    </w:p>
    <w:sectPr w:rsidR="0041518C" w:rsidSect="00D57F8D">
      <w:footerReference w:type="even" r:id="rId7"/>
      <w:footerReference w:type="default" r:id="rId8"/>
      <w:footerReference w:type="firs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8D" w:rsidRDefault="00D57F8D" w:rsidP="00D57F8D">
      <w:r>
        <w:separator/>
      </w:r>
    </w:p>
  </w:endnote>
  <w:endnote w:type="continuationSeparator" w:id="0">
    <w:p w:rsidR="00D57F8D" w:rsidRDefault="00D57F8D" w:rsidP="00D5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0D" w:rsidRDefault="00D57F8D">
    <w:pPr>
      <w:pStyle w:val="Footer"/>
      <w:framePr w:wrap="around" w:vAnchor="text" w:hAnchor="margin" w:xAlign="center" w:y="1"/>
      <w:rPr>
        <w:rStyle w:val="PageNumber"/>
      </w:rPr>
    </w:pPr>
    <w:r>
      <w:rPr>
        <w:rStyle w:val="PageNumber"/>
      </w:rPr>
      <w:fldChar w:fldCharType="begin"/>
    </w:r>
    <w:r w:rsidR="001D1BF6">
      <w:rPr>
        <w:rStyle w:val="PageNumber"/>
      </w:rPr>
      <w:instrText xml:space="preserve">PAGE  </w:instrText>
    </w:r>
    <w:r>
      <w:rPr>
        <w:rStyle w:val="PageNumber"/>
      </w:rPr>
      <w:fldChar w:fldCharType="end"/>
    </w:r>
  </w:p>
  <w:p w:rsidR="000E650D" w:rsidRDefault="006F3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0D" w:rsidRDefault="00D57F8D">
    <w:pPr>
      <w:pStyle w:val="Footer"/>
      <w:framePr w:wrap="around" w:vAnchor="text" w:hAnchor="margin" w:xAlign="center" w:y="1"/>
      <w:rPr>
        <w:rStyle w:val="PageNumber"/>
      </w:rPr>
    </w:pPr>
    <w:r>
      <w:rPr>
        <w:rStyle w:val="PageNumber"/>
      </w:rPr>
      <w:fldChar w:fldCharType="begin"/>
    </w:r>
    <w:r w:rsidR="001D1BF6">
      <w:rPr>
        <w:rStyle w:val="PageNumber"/>
      </w:rPr>
      <w:instrText xml:space="preserve">PAGE  </w:instrText>
    </w:r>
    <w:r>
      <w:rPr>
        <w:rStyle w:val="PageNumber"/>
      </w:rPr>
      <w:fldChar w:fldCharType="separate"/>
    </w:r>
    <w:r w:rsidR="006F3200">
      <w:rPr>
        <w:rStyle w:val="PageNumber"/>
        <w:noProof/>
      </w:rPr>
      <w:t>3</w:t>
    </w:r>
    <w:r>
      <w:rPr>
        <w:rStyle w:val="PageNumber"/>
      </w:rPr>
      <w:fldChar w:fldCharType="end"/>
    </w:r>
  </w:p>
  <w:p w:rsidR="000E650D" w:rsidRDefault="006F3200" w:rsidP="0013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0D" w:rsidRDefault="006F320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8D" w:rsidRDefault="00D57F8D" w:rsidP="00D57F8D">
      <w:r>
        <w:separator/>
      </w:r>
    </w:p>
  </w:footnote>
  <w:footnote w:type="continuationSeparator" w:id="0">
    <w:p w:rsidR="00D57F8D" w:rsidRDefault="00D57F8D" w:rsidP="00D5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B38430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5930016C"/>
    <w:lvl w:ilvl="0">
      <w:start w:val="17"/>
      <w:numFmt w:val="upperLetter"/>
      <w:pStyle w:val="Heading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FFFFFFFE"/>
    <w:multiLevelType w:val="singleLevel"/>
    <w:tmpl w:val="078284D6"/>
    <w:lvl w:ilvl="0">
      <w:numFmt w:val="decimal"/>
      <w:lvlText w:val="*"/>
      <w:lvlJc w:val="left"/>
    </w:lvl>
  </w:abstractNum>
  <w:abstractNum w:abstractNumId="3" w15:restartNumberingAfterBreak="0">
    <w:nsid w:val="055B2B25"/>
    <w:multiLevelType w:val="singleLevel"/>
    <w:tmpl w:val="FA88DEDE"/>
    <w:lvl w:ilvl="0">
      <w:start w:val="17"/>
      <w:numFmt w:val="upperLetter"/>
      <w:lvlText w:val="%1."/>
      <w:legacy w:legacy="1" w:legacySpace="120" w:legacyIndent="360"/>
      <w:lvlJc w:val="left"/>
      <w:pPr>
        <w:ind w:left="360" w:hanging="360"/>
      </w:pPr>
    </w:lvl>
  </w:abstractNum>
  <w:abstractNum w:abstractNumId="4" w15:restartNumberingAfterBreak="0">
    <w:nsid w:val="068C482C"/>
    <w:multiLevelType w:val="hybridMultilevel"/>
    <w:tmpl w:val="D89EE84A"/>
    <w:lvl w:ilvl="0" w:tplc="F9106D9A">
      <w:start w:val="1"/>
      <w:numFmt w:val="decimal"/>
      <w:lvlText w:val="%1."/>
      <w:lvlJc w:val="left"/>
      <w:pPr>
        <w:tabs>
          <w:tab w:val="num" w:pos="1080"/>
        </w:tabs>
        <w:ind w:left="1080" w:hanging="720"/>
      </w:pPr>
      <w:rPr>
        <w:rFonts w:hint="default"/>
      </w:rPr>
    </w:lvl>
    <w:lvl w:ilvl="1" w:tplc="0F548550">
      <w:start w:val="1"/>
      <w:numFmt w:val="upperLetter"/>
      <w:lvlText w:val="%2."/>
      <w:lvlJc w:val="left"/>
      <w:pPr>
        <w:tabs>
          <w:tab w:val="num" w:pos="1440"/>
        </w:tabs>
        <w:ind w:left="1440" w:hanging="360"/>
      </w:pPr>
      <w:rPr>
        <w:rFonts w:hint="default"/>
      </w:rPr>
    </w:lvl>
    <w:lvl w:ilvl="2" w:tplc="D8D05E54">
      <w:start w:val="1"/>
      <w:numFmt w:val="lowerRoman"/>
      <w:lvlText w:val="%3."/>
      <w:lvlJc w:val="right"/>
      <w:pPr>
        <w:tabs>
          <w:tab w:val="num" w:pos="2160"/>
        </w:tabs>
        <w:ind w:left="2160" w:hanging="180"/>
      </w:pPr>
    </w:lvl>
    <w:lvl w:ilvl="3" w:tplc="50263200" w:tentative="1">
      <w:start w:val="1"/>
      <w:numFmt w:val="decimal"/>
      <w:lvlText w:val="%4."/>
      <w:lvlJc w:val="left"/>
      <w:pPr>
        <w:tabs>
          <w:tab w:val="num" w:pos="2880"/>
        </w:tabs>
        <w:ind w:left="2880" w:hanging="360"/>
      </w:pPr>
    </w:lvl>
    <w:lvl w:ilvl="4" w:tplc="BB647C30" w:tentative="1">
      <w:start w:val="1"/>
      <w:numFmt w:val="lowerLetter"/>
      <w:lvlText w:val="%5."/>
      <w:lvlJc w:val="left"/>
      <w:pPr>
        <w:tabs>
          <w:tab w:val="num" w:pos="3600"/>
        </w:tabs>
        <w:ind w:left="3600" w:hanging="360"/>
      </w:pPr>
    </w:lvl>
    <w:lvl w:ilvl="5" w:tplc="9EF45C94" w:tentative="1">
      <w:start w:val="1"/>
      <w:numFmt w:val="lowerRoman"/>
      <w:lvlText w:val="%6."/>
      <w:lvlJc w:val="right"/>
      <w:pPr>
        <w:tabs>
          <w:tab w:val="num" w:pos="4320"/>
        </w:tabs>
        <w:ind w:left="4320" w:hanging="180"/>
      </w:pPr>
    </w:lvl>
    <w:lvl w:ilvl="6" w:tplc="2A72D4EC" w:tentative="1">
      <w:start w:val="1"/>
      <w:numFmt w:val="decimal"/>
      <w:lvlText w:val="%7."/>
      <w:lvlJc w:val="left"/>
      <w:pPr>
        <w:tabs>
          <w:tab w:val="num" w:pos="5040"/>
        </w:tabs>
        <w:ind w:left="5040" w:hanging="360"/>
      </w:pPr>
    </w:lvl>
    <w:lvl w:ilvl="7" w:tplc="10086DB2" w:tentative="1">
      <w:start w:val="1"/>
      <w:numFmt w:val="lowerLetter"/>
      <w:lvlText w:val="%8."/>
      <w:lvlJc w:val="left"/>
      <w:pPr>
        <w:tabs>
          <w:tab w:val="num" w:pos="5760"/>
        </w:tabs>
        <w:ind w:left="5760" w:hanging="360"/>
      </w:pPr>
    </w:lvl>
    <w:lvl w:ilvl="8" w:tplc="A154857C" w:tentative="1">
      <w:start w:val="1"/>
      <w:numFmt w:val="lowerRoman"/>
      <w:lvlText w:val="%9."/>
      <w:lvlJc w:val="right"/>
      <w:pPr>
        <w:tabs>
          <w:tab w:val="num" w:pos="6480"/>
        </w:tabs>
        <w:ind w:left="6480" w:hanging="180"/>
      </w:pPr>
    </w:lvl>
  </w:abstractNum>
  <w:abstractNum w:abstractNumId="5" w15:restartNumberingAfterBreak="0">
    <w:nsid w:val="0D1B6EBE"/>
    <w:multiLevelType w:val="hybridMultilevel"/>
    <w:tmpl w:val="6EC027B6"/>
    <w:lvl w:ilvl="0" w:tplc="2B0E084C">
      <w:start w:val="11"/>
      <w:numFmt w:val="decimal"/>
      <w:lvlText w:val="(%1)"/>
      <w:lvlJc w:val="left"/>
      <w:pPr>
        <w:tabs>
          <w:tab w:val="num" w:pos="1440"/>
        </w:tabs>
        <w:ind w:left="1440" w:hanging="720"/>
      </w:pPr>
      <w:rPr>
        <w:rFonts w:hint="default"/>
      </w:rPr>
    </w:lvl>
    <w:lvl w:ilvl="1" w:tplc="B26A3E92" w:tentative="1">
      <w:start w:val="1"/>
      <w:numFmt w:val="lowerLetter"/>
      <w:lvlText w:val="%2."/>
      <w:lvlJc w:val="left"/>
      <w:pPr>
        <w:tabs>
          <w:tab w:val="num" w:pos="1800"/>
        </w:tabs>
        <w:ind w:left="1800" w:hanging="360"/>
      </w:pPr>
    </w:lvl>
    <w:lvl w:ilvl="2" w:tplc="C1267C96" w:tentative="1">
      <w:start w:val="1"/>
      <w:numFmt w:val="lowerRoman"/>
      <w:lvlText w:val="%3."/>
      <w:lvlJc w:val="right"/>
      <w:pPr>
        <w:tabs>
          <w:tab w:val="num" w:pos="2520"/>
        </w:tabs>
        <w:ind w:left="2520" w:hanging="180"/>
      </w:pPr>
    </w:lvl>
    <w:lvl w:ilvl="3" w:tplc="0DC6A5B8" w:tentative="1">
      <w:start w:val="1"/>
      <w:numFmt w:val="decimal"/>
      <w:lvlText w:val="%4."/>
      <w:lvlJc w:val="left"/>
      <w:pPr>
        <w:tabs>
          <w:tab w:val="num" w:pos="3240"/>
        </w:tabs>
        <w:ind w:left="3240" w:hanging="360"/>
      </w:pPr>
    </w:lvl>
    <w:lvl w:ilvl="4" w:tplc="313E6BBE" w:tentative="1">
      <w:start w:val="1"/>
      <w:numFmt w:val="lowerLetter"/>
      <w:lvlText w:val="%5."/>
      <w:lvlJc w:val="left"/>
      <w:pPr>
        <w:tabs>
          <w:tab w:val="num" w:pos="3960"/>
        </w:tabs>
        <w:ind w:left="3960" w:hanging="360"/>
      </w:pPr>
    </w:lvl>
    <w:lvl w:ilvl="5" w:tplc="C6A65174" w:tentative="1">
      <w:start w:val="1"/>
      <w:numFmt w:val="lowerRoman"/>
      <w:lvlText w:val="%6."/>
      <w:lvlJc w:val="right"/>
      <w:pPr>
        <w:tabs>
          <w:tab w:val="num" w:pos="4680"/>
        </w:tabs>
        <w:ind w:left="4680" w:hanging="180"/>
      </w:pPr>
    </w:lvl>
    <w:lvl w:ilvl="6" w:tplc="42E23B1C" w:tentative="1">
      <w:start w:val="1"/>
      <w:numFmt w:val="decimal"/>
      <w:lvlText w:val="%7."/>
      <w:lvlJc w:val="left"/>
      <w:pPr>
        <w:tabs>
          <w:tab w:val="num" w:pos="5400"/>
        </w:tabs>
        <w:ind w:left="5400" w:hanging="360"/>
      </w:pPr>
    </w:lvl>
    <w:lvl w:ilvl="7" w:tplc="10C80C0A" w:tentative="1">
      <w:start w:val="1"/>
      <w:numFmt w:val="lowerLetter"/>
      <w:lvlText w:val="%8."/>
      <w:lvlJc w:val="left"/>
      <w:pPr>
        <w:tabs>
          <w:tab w:val="num" w:pos="6120"/>
        </w:tabs>
        <w:ind w:left="6120" w:hanging="360"/>
      </w:pPr>
    </w:lvl>
    <w:lvl w:ilvl="8" w:tplc="25E065F2" w:tentative="1">
      <w:start w:val="1"/>
      <w:numFmt w:val="lowerRoman"/>
      <w:lvlText w:val="%9."/>
      <w:lvlJc w:val="right"/>
      <w:pPr>
        <w:tabs>
          <w:tab w:val="num" w:pos="6840"/>
        </w:tabs>
        <w:ind w:left="6840" w:hanging="180"/>
      </w:pPr>
    </w:lvl>
  </w:abstractNum>
  <w:abstractNum w:abstractNumId="6" w15:restartNumberingAfterBreak="0">
    <w:nsid w:val="251148C9"/>
    <w:multiLevelType w:val="singleLevel"/>
    <w:tmpl w:val="FA88DEDE"/>
    <w:lvl w:ilvl="0">
      <w:start w:val="17"/>
      <w:numFmt w:val="upperLetter"/>
      <w:lvlText w:val="%1."/>
      <w:legacy w:legacy="1" w:legacySpace="120" w:legacyIndent="360"/>
      <w:lvlJc w:val="left"/>
      <w:pPr>
        <w:ind w:left="360" w:hanging="360"/>
      </w:pPr>
    </w:lvl>
  </w:abstractNum>
  <w:abstractNum w:abstractNumId="7" w15:restartNumberingAfterBreak="0">
    <w:nsid w:val="30FE461E"/>
    <w:multiLevelType w:val="singleLevel"/>
    <w:tmpl w:val="FA88DEDE"/>
    <w:lvl w:ilvl="0">
      <w:start w:val="17"/>
      <w:numFmt w:val="upperLetter"/>
      <w:lvlText w:val="%1."/>
      <w:legacy w:legacy="1" w:legacySpace="120" w:legacyIndent="360"/>
      <w:lvlJc w:val="left"/>
      <w:pPr>
        <w:ind w:left="360" w:hanging="360"/>
      </w:pPr>
    </w:lvl>
  </w:abstractNum>
  <w:abstractNum w:abstractNumId="8" w15:restartNumberingAfterBreak="0">
    <w:nsid w:val="3AF462DD"/>
    <w:multiLevelType w:val="singleLevel"/>
    <w:tmpl w:val="FA88DEDE"/>
    <w:lvl w:ilvl="0">
      <w:start w:val="17"/>
      <w:numFmt w:val="upperLetter"/>
      <w:lvlText w:val="%1."/>
      <w:legacy w:legacy="1" w:legacySpace="120" w:legacyIndent="360"/>
      <w:lvlJc w:val="left"/>
      <w:pPr>
        <w:ind w:left="360" w:hanging="360"/>
      </w:pPr>
    </w:lvl>
  </w:abstractNum>
  <w:abstractNum w:abstractNumId="9" w15:restartNumberingAfterBreak="0">
    <w:nsid w:val="3FAD1E8D"/>
    <w:multiLevelType w:val="singleLevel"/>
    <w:tmpl w:val="FA88DEDE"/>
    <w:lvl w:ilvl="0">
      <w:start w:val="17"/>
      <w:numFmt w:val="upperLetter"/>
      <w:lvlText w:val="%1."/>
      <w:legacy w:legacy="1" w:legacySpace="120" w:legacyIndent="360"/>
      <w:lvlJc w:val="left"/>
      <w:pPr>
        <w:ind w:left="360" w:hanging="360"/>
      </w:pPr>
    </w:lvl>
  </w:abstractNum>
  <w:abstractNum w:abstractNumId="10" w15:restartNumberingAfterBreak="0">
    <w:nsid w:val="4F3E3F40"/>
    <w:multiLevelType w:val="singleLevel"/>
    <w:tmpl w:val="FA88DEDE"/>
    <w:lvl w:ilvl="0">
      <w:start w:val="17"/>
      <w:numFmt w:val="upperLetter"/>
      <w:lvlText w:val="%1."/>
      <w:legacy w:legacy="1" w:legacySpace="120" w:legacyIndent="360"/>
      <w:lvlJc w:val="left"/>
      <w:pPr>
        <w:ind w:left="360" w:hanging="360"/>
      </w:pPr>
    </w:lvl>
  </w:abstractNum>
  <w:abstractNum w:abstractNumId="11" w15:restartNumberingAfterBreak="0">
    <w:nsid w:val="546D23CD"/>
    <w:multiLevelType w:val="hybridMultilevel"/>
    <w:tmpl w:val="B8EA6C3A"/>
    <w:lvl w:ilvl="0" w:tplc="AB04494E">
      <w:start w:val="1"/>
      <w:numFmt w:val="decimal"/>
      <w:lvlText w:val="(%1)"/>
      <w:lvlJc w:val="left"/>
      <w:pPr>
        <w:tabs>
          <w:tab w:val="num" w:pos="1440"/>
        </w:tabs>
        <w:ind w:left="1440" w:hanging="360"/>
      </w:pPr>
      <w:rPr>
        <w:rFonts w:ascii="Times New Roman" w:hAnsi="Times New Roman" w:cs="Times New Roman" w:hint="default"/>
        <w:sz w:val="24"/>
        <w:szCs w:val="24"/>
      </w:rPr>
    </w:lvl>
    <w:lvl w:ilvl="1" w:tplc="8D9067CC" w:tentative="1">
      <w:start w:val="1"/>
      <w:numFmt w:val="lowerLetter"/>
      <w:lvlText w:val="%2."/>
      <w:lvlJc w:val="left"/>
      <w:pPr>
        <w:tabs>
          <w:tab w:val="num" w:pos="1800"/>
        </w:tabs>
        <w:ind w:left="1800" w:hanging="360"/>
      </w:pPr>
    </w:lvl>
    <w:lvl w:ilvl="2" w:tplc="7CA2D760" w:tentative="1">
      <w:start w:val="1"/>
      <w:numFmt w:val="lowerRoman"/>
      <w:lvlText w:val="%3."/>
      <w:lvlJc w:val="right"/>
      <w:pPr>
        <w:tabs>
          <w:tab w:val="num" w:pos="2520"/>
        </w:tabs>
        <w:ind w:left="2520" w:hanging="180"/>
      </w:pPr>
    </w:lvl>
    <w:lvl w:ilvl="3" w:tplc="22CEA4EC" w:tentative="1">
      <w:start w:val="1"/>
      <w:numFmt w:val="decimal"/>
      <w:lvlText w:val="%4."/>
      <w:lvlJc w:val="left"/>
      <w:pPr>
        <w:tabs>
          <w:tab w:val="num" w:pos="3240"/>
        </w:tabs>
        <w:ind w:left="3240" w:hanging="360"/>
      </w:pPr>
    </w:lvl>
    <w:lvl w:ilvl="4" w:tplc="5BF0677C" w:tentative="1">
      <w:start w:val="1"/>
      <w:numFmt w:val="lowerLetter"/>
      <w:lvlText w:val="%5."/>
      <w:lvlJc w:val="left"/>
      <w:pPr>
        <w:tabs>
          <w:tab w:val="num" w:pos="3960"/>
        </w:tabs>
        <w:ind w:left="3960" w:hanging="360"/>
      </w:pPr>
    </w:lvl>
    <w:lvl w:ilvl="5" w:tplc="9DF8A2AC" w:tentative="1">
      <w:start w:val="1"/>
      <w:numFmt w:val="lowerRoman"/>
      <w:lvlText w:val="%6."/>
      <w:lvlJc w:val="right"/>
      <w:pPr>
        <w:tabs>
          <w:tab w:val="num" w:pos="4680"/>
        </w:tabs>
        <w:ind w:left="4680" w:hanging="180"/>
      </w:pPr>
    </w:lvl>
    <w:lvl w:ilvl="6" w:tplc="0BC26F68" w:tentative="1">
      <w:start w:val="1"/>
      <w:numFmt w:val="decimal"/>
      <w:lvlText w:val="%7."/>
      <w:lvlJc w:val="left"/>
      <w:pPr>
        <w:tabs>
          <w:tab w:val="num" w:pos="5400"/>
        </w:tabs>
        <w:ind w:left="5400" w:hanging="360"/>
      </w:pPr>
    </w:lvl>
    <w:lvl w:ilvl="7" w:tplc="42C4C394" w:tentative="1">
      <w:start w:val="1"/>
      <w:numFmt w:val="lowerLetter"/>
      <w:lvlText w:val="%8."/>
      <w:lvlJc w:val="left"/>
      <w:pPr>
        <w:tabs>
          <w:tab w:val="num" w:pos="6120"/>
        </w:tabs>
        <w:ind w:left="6120" w:hanging="360"/>
      </w:pPr>
    </w:lvl>
    <w:lvl w:ilvl="8" w:tplc="B2F4BF82" w:tentative="1">
      <w:start w:val="1"/>
      <w:numFmt w:val="lowerRoman"/>
      <w:lvlText w:val="%9."/>
      <w:lvlJc w:val="right"/>
      <w:pPr>
        <w:tabs>
          <w:tab w:val="num" w:pos="6840"/>
        </w:tabs>
        <w:ind w:left="6840" w:hanging="180"/>
      </w:pPr>
    </w:lvl>
  </w:abstractNum>
  <w:abstractNum w:abstractNumId="12" w15:restartNumberingAfterBreak="0">
    <w:nsid w:val="5F7563C0"/>
    <w:multiLevelType w:val="multilevel"/>
    <w:tmpl w:val="4246CCE2"/>
    <w:lvl w:ilvl="0">
      <w:start w:val="1"/>
      <w:numFmt w:val="decimal"/>
      <w:pStyle w:val="NormalLinespacingDouble"/>
      <w:lvlText w:val="%1."/>
      <w:lvlJc w:val="left"/>
      <w:pPr>
        <w:tabs>
          <w:tab w:val="num" w:pos="-31680"/>
        </w:tabs>
        <w:ind w:left="0" w:firstLine="720"/>
      </w:pPr>
      <w:rPr>
        <w:rFonts w:ascii="Times New Roman" w:hAnsi="Times New Roman" w:cs="Times New Roman" w:hint="default"/>
        <w:b w:val="0"/>
        <w:i w:val="0"/>
        <w:caps w:val="0"/>
        <w:sz w:val="24"/>
      </w:rPr>
    </w:lvl>
    <w:lvl w:ilvl="1">
      <w:start w:val="1"/>
      <w:numFmt w:val="upperLetter"/>
      <w:lvlText w:val="%2."/>
      <w:lvlJc w:val="left"/>
      <w:pPr>
        <w:tabs>
          <w:tab w:val="num" w:pos="-31680"/>
        </w:tabs>
        <w:ind w:left="0" w:firstLine="1440"/>
      </w:pPr>
      <w:rPr>
        <w:rFonts w:ascii="Times New Roman" w:hAnsi="Times New Roman" w:cs="Times New Roman" w:hint="default"/>
        <w:b w:val="0"/>
        <w:i w:val="0"/>
        <w:sz w:val="24"/>
      </w:rPr>
    </w:lvl>
    <w:lvl w:ilvl="2">
      <w:start w:val="1"/>
      <w:numFmt w:val="decimal"/>
      <w:lvlText w:val="%3)"/>
      <w:lvlJc w:val="left"/>
      <w:pPr>
        <w:tabs>
          <w:tab w:val="num" w:pos="-31680"/>
        </w:tabs>
        <w:ind w:left="0" w:firstLine="2160"/>
      </w:pPr>
      <w:rPr>
        <w:rFonts w:ascii="Times New Roman" w:hAnsi="Times New Roman" w:cs="Times New Roman" w:hint="default"/>
        <w:b w:val="0"/>
        <w:i w:val="0"/>
        <w:sz w:val="24"/>
      </w:rPr>
    </w:lvl>
    <w:lvl w:ilvl="3">
      <w:start w:val="1"/>
      <w:numFmt w:val="lowerLetter"/>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47477A"/>
    <w:multiLevelType w:val="singleLevel"/>
    <w:tmpl w:val="A7BC4002"/>
    <w:lvl w:ilvl="0">
      <w:start w:val="17"/>
      <w:numFmt w:val="upperLetter"/>
      <w:lvlText w:val="%1. "/>
      <w:legacy w:legacy="1" w:legacySpace="0" w:legacyIndent="360"/>
      <w:lvlJc w:val="left"/>
      <w:pPr>
        <w:ind w:left="360" w:hanging="360"/>
      </w:pPr>
      <w:rPr>
        <w:b/>
        <w:i w:val="0"/>
        <w:sz w:val="24"/>
      </w:rPr>
    </w:lvl>
  </w:abstractNum>
  <w:abstractNum w:abstractNumId="14" w15:restartNumberingAfterBreak="0">
    <w:nsid w:val="6EE77488"/>
    <w:multiLevelType w:val="hybridMultilevel"/>
    <w:tmpl w:val="555C32DA"/>
    <w:lvl w:ilvl="0" w:tplc="B6ECF7AC">
      <w:start w:val="1"/>
      <w:numFmt w:val="bullet"/>
      <w:lvlText w:val=""/>
      <w:lvlJc w:val="left"/>
      <w:pPr>
        <w:tabs>
          <w:tab w:val="num" w:pos="1080"/>
        </w:tabs>
        <w:ind w:left="1080" w:hanging="360"/>
      </w:pPr>
      <w:rPr>
        <w:rFonts w:ascii="Symbol" w:hAnsi="Symbol" w:hint="default"/>
      </w:rPr>
    </w:lvl>
    <w:lvl w:ilvl="1" w:tplc="10725A2C" w:tentative="1">
      <w:start w:val="1"/>
      <w:numFmt w:val="lowerLetter"/>
      <w:lvlText w:val="%2."/>
      <w:lvlJc w:val="left"/>
      <w:pPr>
        <w:tabs>
          <w:tab w:val="num" w:pos="1800"/>
        </w:tabs>
        <w:ind w:left="1800" w:hanging="360"/>
      </w:pPr>
    </w:lvl>
    <w:lvl w:ilvl="2" w:tplc="B84E2734" w:tentative="1">
      <w:start w:val="1"/>
      <w:numFmt w:val="lowerRoman"/>
      <w:lvlText w:val="%3."/>
      <w:lvlJc w:val="right"/>
      <w:pPr>
        <w:tabs>
          <w:tab w:val="num" w:pos="2520"/>
        </w:tabs>
        <w:ind w:left="2520" w:hanging="180"/>
      </w:pPr>
    </w:lvl>
    <w:lvl w:ilvl="3" w:tplc="81D0A514" w:tentative="1">
      <w:start w:val="1"/>
      <w:numFmt w:val="decimal"/>
      <w:lvlText w:val="%4."/>
      <w:lvlJc w:val="left"/>
      <w:pPr>
        <w:tabs>
          <w:tab w:val="num" w:pos="3240"/>
        </w:tabs>
        <w:ind w:left="3240" w:hanging="360"/>
      </w:pPr>
    </w:lvl>
    <w:lvl w:ilvl="4" w:tplc="7CB4695E" w:tentative="1">
      <w:start w:val="1"/>
      <w:numFmt w:val="lowerLetter"/>
      <w:lvlText w:val="%5."/>
      <w:lvlJc w:val="left"/>
      <w:pPr>
        <w:tabs>
          <w:tab w:val="num" w:pos="3960"/>
        </w:tabs>
        <w:ind w:left="3960" w:hanging="360"/>
      </w:pPr>
    </w:lvl>
    <w:lvl w:ilvl="5" w:tplc="CFBAA430" w:tentative="1">
      <w:start w:val="1"/>
      <w:numFmt w:val="lowerRoman"/>
      <w:lvlText w:val="%6."/>
      <w:lvlJc w:val="right"/>
      <w:pPr>
        <w:tabs>
          <w:tab w:val="num" w:pos="4680"/>
        </w:tabs>
        <w:ind w:left="4680" w:hanging="180"/>
      </w:pPr>
    </w:lvl>
    <w:lvl w:ilvl="6" w:tplc="6C22EBF0" w:tentative="1">
      <w:start w:val="1"/>
      <w:numFmt w:val="decimal"/>
      <w:lvlText w:val="%7."/>
      <w:lvlJc w:val="left"/>
      <w:pPr>
        <w:tabs>
          <w:tab w:val="num" w:pos="5400"/>
        </w:tabs>
        <w:ind w:left="5400" w:hanging="360"/>
      </w:pPr>
    </w:lvl>
    <w:lvl w:ilvl="7" w:tplc="FF62ECBE" w:tentative="1">
      <w:start w:val="1"/>
      <w:numFmt w:val="lowerLetter"/>
      <w:lvlText w:val="%8."/>
      <w:lvlJc w:val="left"/>
      <w:pPr>
        <w:tabs>
          <w:tab w:val="num" w:pos="6120"/>
        </w:tabs>
        <w:ind w:left="6120" w:hanging="360"/>
      </w:pPr>
    </w:lvl>
    <w:lvl w:ilvl="8" w:tplc="FAEA667A" w:tentative="1">
      <w:start w:val="1"/>
      <w:numFmt w:val="lowerRoman"/>
      <w:lvlText w:val="%9."/>
      <w:lvlJc w:val="right"/>
      <w:pPr>
        <w:tabs>
          <w:tab w:val="num" w:pos="6840"/>
        </w:tabs>
        <w:ind w:left="6840" w:hanging="180"/>
      </w:pPr>
    </w:lvl>
  </w:abstractNum>
  <w:abstractNum w:abstractNumId="15" w15:restartNumberingAfterBreak="0">
    <w:nsid w:val="7B41417A"/>
    <w:multiLevelType w:val="singleLevel"/>
    <w:tmpl w:val="FA88DEDE"/>
    <w:lvl w:ilvl="0">
      <w:start w:val="17"/>
      <w:numFmt w:val="upperLetter"/>
      <w:lvlText w:val="%1."/>
      <w:legacy w:legacy="1" w:legacySpace="120" w:legacyIndent="360"/>
      <w:lvlJc w:val="left"/>
      <w:pPr>
        <w:ind w:left="270" w:hanging="360"/>
      </w:pPr>
    </w:lvl>
  </w:abstractNum>
  <w:num w:numId="1">
    <w:abstractNumId w:val="11"/>
  </w:num>
  <w:num w:numId="2">
    <w:abstractNumId w:val="4"/>
  </w:num>
  <w:num w:numId="3">
    <w:abstractNumId w:val="14"/>
  </w:num>
  <w:num w:numId="4">
    <w:abstractNumId w:val="5"/>
  </w:num>
  <w:num w:numId="5">
    <w:abstractNumId w:val="0"/>
  </w:num>
  <w:num w:numId="6">
    <w:abstractNumId w:val="1"/>
  </w:num>
  <w:num w:numId="7">
    <w:abstractNumId w:val="13"/>
  </w:num>
  <w:num w:numId="8">
    <w:abstractNumId w:val="2"/>
    <w:lvlOverride w:ilvl="0">
      <w:lvl w:ilvl="0">
        <w:start w:val="1"/>
        <w:numFmt w:val="bullet"/>
        <w:lvlText w:val=""/>
        <w:legacy w:legacy="1" w:legacySpace="120" w:legacyIndent="504"/>
        <w:lvlJc w:val="left"/>
        <w:pPr>
          <w:ind w:left="1206" w:hanging="504"/>
        </w:pPr>
        <w:rPr>
          <w:rFonts w:ascii="Symbol" w:hAnsi="Symbol" w:hint="default"/>
        </w:rPr>
      </w:lvl>
    </w:lvlOverride>
  </w:num>
  <w:num w:numId="9">
    <w:abstractNumId w:val="2"/>
    <w:lvlOverride w:ilvl="0">
      <w:lvl w:ilvl="0">
        <w:start w:val="1"/>
        <w:numFmt w:val="bullet"/>
        <w:lvlText w:val=""/>
        <w:legacy w:legacy="1" w:legacySpace="120" w:legacyIndent="360"/>
        <w:lvlJc w:val="left"/>
        <w:pPr>
          <w:ind w:left="1080" w:hanging="360"/>
        </w:pPr>
        <w:rPr>
          <w:rFonts w:ascii="Symbol" w:hAnsi="Symbol" w:hint="default"/>
        </w:rPr>
      </w:lvl>
    </w:lvlOverride>
  </w:num>
  <w:num w:numId="10">
    <w:abstractNumId w:val="8"/>
  </w:num>
  <w:num w:numId="11">
    <w:abstractNumId w:val="8"/>
    <w:lvlOverride w:ilvl="0">
      <w:lvl w:ilvl="0">
        <w:start w:val="1"/>
        <w:numFmt w:val="upperLetter"/>
        <w:lvlText w:val="%1."/>
        <w:legacy w:legacy="1" w:legacySpace="120" w:legacyIndent="360"/>
        <w:lvlJc w:val="left"/>
        <w:pPr>
          <w:ind w:left="360" w:hanging="360"/>
        </w:pPr>
        <w:rPr>
          <w:b/>
        </w:rPr>
      </w:lvl>
    </w:lvlOverride>
  </w:num>
  <w:num w:numId="12">
    <w:abstractNumId w:val="10"/>
  </w:num>
  <w:num w:numId="13">
    <w:abstractNumId w:val="15"/>
  </w:num>
  <w:num w:numId="14">
    <w:abstractNumId w:val="15"/>
    <w:lvlOverride w:ilvl="0">
      <w:lvl w:ilvl="0">
        <w:start w:val="1"/>
        <w:numFmt w:val="upperLetter"/>
        <w:lvlText w:val="%1."/>
        <w:legacy w:legacy="1" w:legacySpace="120" w:legacyIndent="360"/>
        <w:lvlJc w:val="left"/>
        <w:pPr>
          <w:ind w:left="360" w:hanging="360"/>
        </w:pPr>
        <w:rPr>
          <w:b/>
        </w:rPr>
      </w:lvl>
    </w:lvlOverride>
  </w:num>
  <w:num w:numId="15">
    <w:abstractNumId w:val="9"/>
  </w:num>
  <w:num w:numId="16">
    <w:abstractNumId w:val="6"/>
  </w:num>
  <w:num w:numId="17">
    <w:abstractNumId w:val="2"/>
    <w:lvlOverride w:ilvl="0">
      <w:lvl w:ilvl="0">
        <w:start w:val="1"/>
        <w:numFmt w:val="bullet"/>
        <w:lvlText w:val="o"/>
        <w:legacy w:legacy="1" w:legacySpace="120" w:legacyIndent="360"/>
        <w:lvlJc w:val="left"/>
        <w:pPr>
          <w:ind w:left="2160" w:hanging="360"/>
        </w:pPr>
        <w:rPr>
          <w:rFonts w:ascii="Courier New" w:hAnsi="Courier New" w:hint="default"/>
        </w:rPr>
      </w:lvl>
    </w:lvlOverride>
  </w:num>
  <w:num w:numId="18">
    <w:abstractNumId w:val="7"/>
  </w:num>
  <w:num w:numId="19">
    <w:abstractNumId w:val="7"/>
    <w:lvlOverride w:ilvl="0">
      <w:lvl w:ilvl="0">
        <w:start w:val="1"/>
        <w:numFmt w:val="upperLetter"/>
        <w:lvlText w:val="%1."/>
        <w:legacy w:legacy="1" w:legacySpace="120" w:legacyIndent="360"/>
        <w:lvlJc w:val="left"/>
        <w:pPr>
          <w:ind w:left="360" w:hanging="360"/>
        </w:pPr>
        <w:rPr>
          <w:b/>
        </w:rPr>
      </w:lvl>
    </w:lvlOverride>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8D"/>
    <w:rsid w:val="001D1BF6"/>
    <w:rsid w:val="004704DE"/>
    <w:rsid w:val="006F3200"/>
    <w:rsid w:val="009D5FD3"/>
    <w:rsid w:val="00D5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97EE77-0E90-44C7-8FAF-F2B6DA4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8D"/>
    <w:rPr>
      <w:sz w:val="24"/>
    </w:rPr>
  </w:style>
  <w:style w:type="paragraph" w:styleId="Heading1">
    <w:name w:val="heading 1"/>
    <w:basedOn w:val="Normal"/>
    <w:next w:val="Normal"/>
    <w:link w:val="Heading1Char"/>
    <w:uiPriority w:val="9"/>
    <w:qFormat/>
    <w:rsid w:val="00A81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qFormat/>
    <w:rsid w:val="00D57F8D"/>
    <w:pPr>
      <w:keepNext/>
      <w:widowControl w:val="0"/>
      <w:numPr>
        <w:numId w:val="6"/>
      </w:numPr>
      <w:tabs>
        <w:tab w:val="left" w:pos="720"/>
      </w:tabs>
      <w:overflowPunct w:val="0"/>
      <w:autoSpaceDE w:val="0"/>
      <w:autoSpaceDN w:val="0"/>
      <w:adjustRightInd w:val="0"/>
      <w:textAlignment w:val="baseline"/>
      <w:outlineLvl w:val="7"/>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57F8D"/>
    <w:pPr>
      <w:jc w:val="both"/>
    </w:pPr>
  </w:style>
  <w:style w:type="paragraph" w:styleId="Footer">
    <w:name w:val="footer"/>
    <w:basedOn w:val="Normal"/>
    <w:semiHidden/>
    <w:rsid w:val="00D57F8D"/>
    <w:pPr>
      <w:tabs>
        <w:tab w:val="center" w:pos="4320"/>
        <w:tab w:val="right" w:pos="8640"/>
      </w:tabs>
    </w:pPr>
  </w:style>
  <w:style w:type="character" w:styleId="PageNumber">
    <w:name w:val="page number"/>
    <w:basedOn w:val="DefaultParagraphFont"/>
    <w:semiHidden/>
    <w:rsid w:val="00D57F8D"/>
  </w:style>
  <w:style w:type="paragraph" w:styleId="Header">
    <w:name w:val="header"/>
    <w:basedOn w:val="Normal"/>
    <w:semiHidden/>
    <w:rsid w:val="00D57F8D"/>
    <w:pPr>
      <w:tabs>
        <w:tab w:val="center" w:pos="4320"/>
        <w:tab w:val="right" w:pos="8640"/>
      </w:tabs>
    </w:pPr>
  </w:style>
  <w:style w:type="character" w:styleId="Hyperlink">
    <w:name w:val="Hyperlink"/>
    <w:basedOn w:val="DefaultParagraphFont"/>
    <w:semiHidden/>
    <w:rsid w:val="00D57F8D"/>
    <w:rPr>
      <w:color w:val="0000FF"/>
      <w:u w:val="single"/>
    </w:rPr>
  </w:style>
  <w:style w:type="paragraph" w:styleId="DocumentMap">
    <w:name w:val="Document Map"/>
    <w:basedOn w:val="Normal"/>
    <w:semiHidden/>
    <w:rsid w:val="00D57F8D"/>
    <w:pPr>
      <w:shd w:val="clear" w:color="auto" w:fill="000080"/>
    </w:pPr>
    <w:rPr>
      <w:rFonts w:ascii="Tahoma" w:hAnsi="Tahoma" w:cs="Tahoma"/>
    </w:rPr>
  </w:style>
  <w:style w:type="character" w:styleId="FollowedHyperlink">
    <w:name w:val="FollowedHyperlink"/>
    <w:basedOn w:val="DefaultParagraphFont"/>
    <w:semiHidden/>
    <w:rsid w:val="00D57F8D"/>
    <w:rPr>
      <w:color w:val="800080"/>
      <w:u w:val="single"/>
    </w:rPr>
  </w:style>
  <w:style w:type="paragraph" w:styleId="BalloonText">
    <w:name w:val="Balloon Text"/>
    <w:basedOn w:val="Normal"/>
    <w:link w:val="BalloonTextChar"/>
    <w:uiPriority w:val="99"/>
    <w:semiHidden/>
    <w:unhideWhenUsed/>
    <w:rsid w:val="000E650D"/>
    <w:rPr>
      <w:rFonts w:ascii="Tahoma" w:hAnsi="Tahoma" w:cs="Tahoma"/>
      <w:sz w:val="16"/>
      <w:szCs w:val="16"/>
    </w:rPr>
  </w:style>
  <w:style w:type="character" w:customStyle="1" w:styleId="BalloonTextChar">
    <w:name w:val="Balloon Text Char"/>
    <w:basedOn w:val="DefaultParagraphFont"/>
    <w:link w:val="BalloonText"/>
    <w:uiPriority w:val="99"/>
    <w:semiHidden/>
    <w:rsid w:val="000E650D"/>
    <w:rPr>
      <w:rFonts w:ascii="Tahoma" w:hAnsi="Tahoma" w:cs="Tahoma"/>
      <w:sz w:val="16"/>
      <w:szCs w:val="16"/>
    </w:rPr>
  </w:style>
  <w:style w:type="character" w:styleId="CommentReference">
    <w:name w:val="annotation reference"/>
    <w:basedOn w:val="DefaultParagraphFont"/>
    <w:uiPriority w:val="99"/>
    <w:semiHidden/>
    <w:unhideWhenUsed/>
    <w:rsid w:val="000E650D"/>
    <w:rPr>
      <w:sz w:val="16"/>
      <w:szCs w:val="16"/>
    </w:rPr>
  </w:style>
  <w:style w:type="paragraph" w:styleId="CommentText">
    <w:name w:val="annotation text"/>
    <w:basedOn w:val="Normal"/>
    <w:link w:val="CommentTextChar"/>
    <w:uiPriority w:val="99"/>
    <w:semiHidden/>
    <w:unhideWhenUsed/>
    <w:rsid w:val="000E650D"/>
    <w:rPr>
      <w:sz w:val="20"/>
    </w:rPr>
  </w:style>
  <w:style w:type="character" w:customStyle="1" w:styleId="CommentTextChar">
    <w:name w:val="Comment Text Char"/>
    <w:basedOn w:val="DefaultParagraphFont"/>
    <w:link w:val="CommentText"/>
    <w:uiPriority w:val="99"/>
    <w:semiHidden/>
    <w:rsid w:val="000E650D"/>
  </w:style>
  <w:style w:type="paragraph" w:styleId="CommentSubject">
    <w:name w:val="annotation subject"/>
    <w:basedOn w:val="CommentText"/>
    <w:next w:val="CommentText"/>
    <w:link w:val="CommentSubjectChar"/>
    <w:uiPriority w:val="99"/>
    <w:semiHidden/>
    <w:unhideWhenUsed/>
    <w:rsid w:val="000E650D"/>
    <w:rPr>
      <w:b/>
      <w:bCs/>
    </w:rPr>
  </w:style>
  <w:style w:type="character" w:customStyle="1" w:styleId="CommentSubjectChar">
    <w:name w:val="Comment Subject Char"/>
    <w:basedOn w:val="CommentTextChar"/>
    <w:link w:val="CommentSubject"/>
    <w:uiPriority w:val="99"/>
    <w:semiHidden/>
    <w:rsid w:val="000E650D"/>
    <w:rPr>
      <w:b/>
      <w:bCs/>
    </w:rPr>
  </w:style>
  <w:style w:type="character" w:customStyle="1" w:styleId="BodyTextChar">
    <w:name w:val="Body Text Char"/>
    <w:basedOn w:val="DefaultParagraphFont"/>
    <w:link w:val="BodyText"/>
    <w:semiHidden/>
    <w:rsid w:val="00BE4C36"/>
    <w:rPr>
      <w:sz w:val="24"/>
    </w:rPr>
  </w:style>
  <w:style w:type="character" w:customStyle="1" w:styleId="Heading1Char">
    <w:name w:val="Heading 1 Char"/>
    <w:basedOn w:val="DefaultParagraphFont"/>
    <w:link w:val="Heading1"/>
    <w:rsid w:val="00A81C5C"/>
    <w:rPr>
      <w:rFonts w:asciiTheme="majorHAnsi" w:eastAsiaTheme="majorEastAsia" w:hAnsiTheme="majorHAnsi" w:cstheme="majorBidi"/>
      <w:color w:val="2E74B5" w:themeColor="accent1" w:themeShade="BF"/>
      <w:sz w:val="32"/>
      <w:szCs w:val="32"/>
    </w:rPr>
  </w:style>
  <w:style w:type="paragraph" w:customStyle="1" w:styleId="NormalLinespacingDouble">
    <w:name w:val="Normal + Line spacing:  Double"/>
    <w:basedOn w:val="Normal"/>
    <w:rsid w:val="00A81C5C"/>
    <w:pPr>
      <w:numPr>
        <w:numId w:val="21"/>
      </w:numPr>
      <w:autoSpaceDE w:val="0"/>
      <w:autoSpaceDN w:val="0"/>
      <w:adjustRightInd w:val="0"/>
      <w:spacing w:line="480" w:lineRule="auto"/>
      <w:jc w:val="both"/>
    </w:pPr>
    <w:rPr>
      <w:rFonts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Sundheim</dc:creator>
  <cp:lastModifiedBy>Ana Kippenbrock</cp:lastModifiedBy>
  <cp:revision>4</cp:revision>
  <cp:lastPrinted>2018-10-01T16:33:00Z</cp:lastPrinted>
  <dcterms:created xsi:type="dcterms:W3CDTF">2018-10-01T16:01:00Z</dcterms:created>
  <dcterms:modified xsi:type="dcterms:W3CDTF">2018-10-01T17:12:00Z</dcterms:modified>
</cp:coreProperties>
</file>